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19" w:rsidRPr="008E0686" w:rsidRDefault="008E0686">
      <w:pPr>
        <w:rPr>
          <w:rFonts w:ascii="Times New Roman" w:hAnsi="Times New Roman" w:cs="Times New Roman"/>
          <w:b/>
          <w:sz w:val="32"/>
          <w:szCs w:val="32"/>
        </w:rPr>
      </w:pPr>
      <w:r w:rsidRPr="008E0686">
        <w:rPr>
          <w:rFonts w:ascii="Times New Roman" w:hAnsi="Times New Roman" w:cs="Times New Roman"/>
          <w:b/>
          <w:sz w:val="32"/>
          <w:szCs w:val="32"/>
        </w:rPr>
        <w:t>Разработка плаката</w:t>
      </w:r>
      <w:r w:rsidR="00813679" w:rsidRPr="008E0686">
        <w:rPr>
          <w:rFonts w:ascii="Times New Roman" w:hAnsi="Times New Roman" w:cs="Times New Roman"/>
          <w:b/>
          <w:sz w:val="32"/>
          <w:szCs w:val="32"/>
        </w:rPr>
        <w:t xml:space="preserve"> на свободную тему </w:t>
      </w:r>
      <w:r w:rsidRPr="008E0686">
        <w:rPr>
          <w:rFonts w:ascii="Times New Roman" w:hAnsi="Times New Roman" w:cs="Times New Roman"/>
          <w:b/>
          <w:sz w:val="32"/>
          <w:szCs w:val="32"/>
        </w:rPr>
        <w:t xml:space="preserve">в стиле </w:t>
      </w:r>
      <w:proofErr w:type="spellStart"/>
      <w:r w:rsidRPr="008E0686">
        <w:rPr>
          <w:rFonts w:ascii="Times New Roman" w:hAnsi="Times New Roman" w:cs="Times New Roman"/>
          <w:b/>
          <w:sz w:val="32"/>
          <w:szCs w:val="32"/>
        </w:rPr>
        <w:t>типографика</w:t>
      </w:r>
      <w:proofErr w:type="spellEnd"/>
      <w:r w:rsidRPr="008E0686">
        <w:rPr>
          <w:rFonts w:ascii="Times New Roman" w:hAnsi="Times New Roman" w:cs="Times New Roman"/>
          <w:b/>
          <w:sz w:val="32"/>
          <w:szCs w:val="32"/>
        </w:rPr>
        <w:t xml:space="preserve"> «новой волны»</w:t>
      </w:r>
      <w:r w:rsidR="00813679" w:rsidRPr="008E06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0686">
        <w:rPr>
          <w:rFonts w:ascii="Times New Roman" w:hAnsi="Times New Roman" w:cs="Times New Roman"/>
          <w:b/>
          <w:sz w:val="32"/>
          <w:szCs w:val="32"/>
        </w:rPr>
        <w:t>или швейцарский панк</w:t>
      </w:r>
    </w:p>
    <w:p w:rsidR="00813679" w:rsidRPr="008E0686" w:rsidRDefault="00813679">
      <w:pPr>
        <w:rPr>
          <w:rFonts w:ascii="Times New Roman" w:hAnsi="Times New Roman" w:cs="Times New Roman"/>
          <w:sz w:val="28"/>
          <w:szCs w:val="28"/>
        </w:rPr>
      </w:pPr>
    </w:p>
    <w:p w:rsidR="008E0686" w:rsidRPr="008E0686" w:rsidRDefault="008E0686" w:rsidP="008E0686">
      <w:pPr>
        <w:spacing w:after="36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 1950-60-е годы доминировала во всех нишах графического дизайна. Минимализм в рекламе, модульная сетка в плакате, гротеск в наборе и акциденции. В корпоративной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айдентике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деловой документации строгость швейцарского стиля царит и по сей день. Долгая жизнь этих принципов и многочисленные последователи дают повод говорить о «швейцарском международном стиле», как о самостоятельно значимом явлении, возникшем из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конструктивизма. «Конструктивисты 20-30-х годов эпизодически и отнюдь не случайно приближались к образу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порядка».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импульс от конструктивизма, швейцарцы довели до логического итога функциональность и рационализм в графическом дизайне. Но господство международного стиля, основанного на порядке и правилах, не могло продолжаться бесконечно. После двух десятилетий основополагающие принципы и верования функционализма были серьезно подвергнуты сомнению. Закономерно, что первое противодействие началось на его родине, в сердце международного стиля — в швейцарском Базеле. Эти идеи позже трансформировались в целое направление, получившее известность как «новая волна».</w:t>
      </w:r>
    </w:p>
    <w:p w:rsidR="008E0686" w:rsidRPr="008E0686" w:rsidRDefault="008E0686" w:rsidP="008E0686">
      <w:pPr>
        <w:spacing w:before="540" w:after="36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Персоналии «новой волны»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фигурой нового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базельского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стал дизайнер-самоучка, типограф Вольфганг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Первоначальную профессию наборщика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там же в Базеле. Работая с металлическим набором, он был обязан помнить множество «правильных» советов, изложенных в руководствах по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типографике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«Казалось, будто все, что было для меня интересным, запрещалось. Но мне хотелось доказать еще и еще раз, что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искусством». В 1964 году, в статье для каталога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Druckspiegel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он писал: «Фотонабор с его техническими возможностями </w:t>
      </w: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ведет сегодняшнюю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типографику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игре без правил». Редакторы издания отказались опубликовать его текст полностью, опасаясь, что они потеряют своих читателей.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настроен весьма скептически относительно ценности современной швейцарской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 его взгляд становилась синонимом ортодоксальности.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начал на практике изменять эти правила и переоценивать весь потенциал функциональной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 Используя технологию металлического набора и ручной станок,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исследовал основные типографические соотношения и размеры диапазона удобочитаемости. Он был очарован эффектами, создаваемыми его экспериментами с различными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межбуквенными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расстояниями и интерлиньяжем. Он растягивал слова и строки до тех пор, пока текст не приближался к пределу разборчивости. Цель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 в том, чтобы вырваться на свободу из жесткой и скучной ортодоксальности. Он чувствовал, что рабская приверженность швейцарскому стилю вела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типографику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глубокий застой. Поиски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экспрессию породили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типографику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«новой волны», фактически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антистиль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стал целым направлением графического дизайна.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его опыт типографа был востребован. В 1968 году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преподавательскую работу в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Kunstgewerbeschule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школе дизайна в Базеле. Это позволило ему публично — через студентов — возражать догматичному подходу Эмиля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Рудера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Армина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Хофманна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(кстати, находящихся в штате этого же учебного заведения). Но их признание его талантов привело к приглашению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Вайнгарту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возвратиться в лоно традиционной швейцарской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 представлять там альтернативный голос. В этом случае он занял бы место в центре новой ортодоксальности, влияния которой простиралось бы от Европы до западного побережья США.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отклонил это предложение, которое позволило бы возвратить швейцарскую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типографику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позиции «выдающейся интеллектуальной субстанции». Он продолжил эксперименты с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типографикой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</w:t>
      </w:r>
      <w:proofErr w:type="gram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Йозеф Мюллер-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Брокманн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 шрифт только одной гарнитуры и лишь в двух кеглях (текст и заголовок), помещенный в строгие рамки модульной сетки,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 своих учеников искать новые принципы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полагались бы ни на какой систематический подход, но соответствовали бы предложенным процессам полиграфического производства. Он хотел видеть типографический дизайн только частью </w:t>
      </w: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диапазона инструментов графического дизайнера. Его студенты изучали и другие области искусств, такие как фотография, рисунок, теория цвета, реклама и упаковка.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потенциала инструментов и их выразительных качеств появилась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самосозерцательная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дизайна в соответствии с настроением той эпохи.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последователи в Европе и за океаном демонстрируют все то же безупречное владение черно-белым материалом. Шрифт остался нейтрально благопристойным, но тем острее обозначились композиционные аномалии», — заметил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В.Кричевский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«На гибкой основе фотографического набора и офсетного монтажа типографы осознанного беспорядка развивают конструктивистский принцип свободной, как правило, ортогональной верстки и при этом вторгаются в ткань набора. Вопреки, казалось бы, незыблемым нормам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ценностями становятся неравномерная разрядка в слове, «порочный» интерлиньяж, критически малая отбивка, вялый контраст по насыщенности и типоразмеру шрифта и т. п. Тот, кто назвал это «швейцарским панком», тонко уловил интригующее сочетание несовместимого. Нарушая порядок,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его»3</w:t>
      </w: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Такой радикализм скоро становится чересчур формальным.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признал, что экспериментирование, которому он стремился способствовать, и которое является очевидным в его собственной работе, было вдохновлено невостребованным потенциалом металлического набора. Это вело к некоторым стилизованным особенностям — отдельным блокам заливок, подаче текста вывороткой, вариациям с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межбуквенным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интервалом и интерлиньяжем, подчеркиванию. Это лишь некоторые «хиты», связанные с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типографикой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«новой волны».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1972 и 1973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серию из 14 связанных между собой обложек для журнала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Typografische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Monatsblаtter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через который он доводил свои инновационные идеи читателям. Деформация сетки и ее полностью измененные элементы, блочные заливки и, трудно подающееся какой-либо закономерности, расположение текста — эти принципы стали ответом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торжество швейцарского стиля. Работа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непосредственной, обладающей интуицией, глубоко продуманной и поданной с чувством, и это оказало существенное влияние на весь графический дизайн конца ХХ века.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C4B0A2" wp14:editId="10B8F605">
            <wp:extent cx="2859405" cy="3674110"/>
            <wp:effectExtent l="0" t="0" r="0" b="2540"/>
            <wp:docPr id="21" name="Рисунок 21" descr="https://awdee.ru/wp-content/uploads/2013/09/p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wdee.ru/wp-content/uploads/2013/09/pa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Вольфганг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Обложка журнала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Typografische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Monatsblatter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 (#12), Швейцария, 1972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C2D604" wp14:editId="279913C6">
            <wp:extent cx="2859405" cy="3724275"/>
            <wp:effectExtent l="0" t="0" r="0" b="9525"/>
            <wp:docPr id="20" name="Рисунок 20" descr="https://awdee.ru/wp-content/uploads/2013/09/pa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wdee.ru/wp-content/uploads/2013/09/pank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Вольфганг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Обложка специального выпуска журнала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Typografische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Monatsblatter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», Швейцария, 1976</w:t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1970-х Вольфганг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получать заказы на дизайн плакатов для музеев, выставок и других культурных организаций, и его работа несколько изменила направление. Подобный коллажу плакат </w:t>
      </w: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выставки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Kunstkredit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(1977) был склеен из отдельных частей пленки в виде слоистого пакета, перенесен на единую основу, затем перемещен непосредственно на офсетную пластину. Сложное иллюстрированное пространство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беспрецедентное в то время, соединяло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типографику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и акциденции, графические элементы и фрагменты фотографий на равных. Он выставил на показ отдельные секции модульной сетки, нарушая ее чистоту зубчатыми переходами, разорванными гранями, случайными формами.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разрывал, искривлял и наслаивал поверхности в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мультипространственной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конфигурации кубиста, которые воплотили новый вид графического пространства. Его фотомеханический экспрессионизм, подобно случайно обнаруженной в проявочной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кувете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бракованной фотографии, действовал на чувства и эмоции зрителя, показывая, что в правильных руках графический дизайн иногда может быть средой для художественного самовыражения.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84EE0" wp14:editId="0C16A6D8">
            <wp:extent cx="2859405" cy="4073525"/>
            <wp:effectExtent l="0" t="0" r="0" b="3175"/>
            <wp:docPr id="19" name="Рисунок 19" descr="https://awdee.ru/wp-content/uploads/2013/09/p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wdee.ru/wp-content/uploads/2013/09/pan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Вольфганг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Вайнгарт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Плакат для выставки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Kunstkredit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1976/77», Швейцария, 1977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Вольфганга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превратился бы в целое направление «новой волны», если бы не многочисленные продолжатели его школы. Даниэль </w:t>
      </w: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Фридман 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его наиболее последовательными учениками.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американского дизайнера Дэна Фридмана его обучение в Базеле 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Ульмской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 Германии стали определяющими во всей его последующей работе. К 1970-му он сам стал преподавать графический дизайн в Йельском университете. Он создавал типографический дизайн по установленным критериям, по которым студенты были обязаны проектировать задания, используя текст, взятый из сводок погоды и метеорологических сообщений. Этот проект давал формальную структуру экспериментальному типографическому подходу в духе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работы Фридмана в начале 1970-х были разительно непохожи друг на друга и, несомненно, находились под влиянием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«новой волны». Плакат для Йельского симфонического оркестра, созданный им в 1973-м, весьма традиционен в своих эстетических качествах более-менее формально структурированного подхода. С другой стороны, обложка 1971 года для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Typografische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Monatsblatter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которой ряд букв из гарнитур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Square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Manhattan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 поверх изображения города, является чрезмерным хаотическим графическим комплексом противоречащих качеств. Более поздние работы Фридмана имеют явно те же признаки.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B5A2C" wp14:editId="3A8F428B">
            <wp:extent cx="2859405" cy="3807460"/>
            <wp:effectExtent l="0" t="0" r="0" b="2540"/>
            <wp:docPr id="18" name="Рисунок 18" descr="https://awdee.ru/wp-content/uploads/2013/09/pa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wdee.ru/wp-content/uploads/2013/09/pank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Дэн Фридман. Обложка журнала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Typografische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Monatsblatter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 (#1), Швейцария, 1971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F8B24D" wp14:editId="73DD0BB6">
            <wp:extent cx="2859405" cy="3690620"/>
            <wp:effectExtent l="0" t="0" r="0" b="5080"/>
            <wp:docPr id="17" name="Рисунок 17" descr="https://awdee.ru/wp-content/uploads/2013/09/pan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wdee.ru/wp-content/uploads/2013/09/pank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Фридман. Плакат для Йельского симфонического оркестра, США, 1973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своего знакомства в 1972 году Фридман 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значительно влиять на творчество друг друга. После того, как Фридман оставил графический дизайн,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продолжила шлифовать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типографику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«новой волны».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739DC" wp14:editId="50136066">
            <wp:extent cx="1872762" cy="3299271"/>
            <wp:effectExtent l="0" t="0" r="0" b="0"/>
            <wp:docPr id="16" name="Рисунок 16" descr="https://awdee.ru/wp-content/uploads/2013/09/pan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wdee.ru/wp-content/uploads/2013/09/pank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47" cy="330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Дэн Фридман. Плакат для иллюстрированной газеты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Space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США, 1976</w:t>
      </w:r>
    </w:p>
    <w:p w:rsidR="008E0686" w:rsidRPr="008E0686" w:rsidRDefault="008E0686" w:rsidP="008E0686">
      <w:pPr>
        <w:spacing w:before="540" w:after="36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Воздействие «новой волны» на графический дизайн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оценивать воздействие «новой волны» на графический дизайн, необходимо понять, как возникли преобладающие в то время эмоционально-ограниченные концепции дизайна. Выпуск журнала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посвященного коммуникативному дизайну 1970-х был озаглавлен «Триумф Корпоративного Стиля». В показанных примерах дизайна и рекламы сквозила поразительная однородность. Корпоративная литература, произведенная на свет корпорациями типа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Mobil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Exxon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North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Rockwell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Aristar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надлежащим образом хорошо структурирована, бесспорно, очищена от лишней декоративности, но полностью предсказуема и безжизненна в использовании форм модернизма. «1970-е были отмечены повышением роли Корпоративного Стиля в дизайне коммуникаций и последующем ослаблении образной </w:t>
      </w:r>
      <w:proofErr w:type="gram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деятельности,«</w:t>
      </w:r>
      <w:proofErr w:type="gram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делает вывод редактор номера. «Это был период, в котором безопасность заменяла риск как доминирующий инструмент продажи». Дизайнеры старшего поколения, приученные к строгому подавлению личного в угоду зарегистрированному стилю коммерческого предприятия, отвергали своенравную субъективность идеи, выраженной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Вайнгартом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дизайн мог бы быть формой искусства. Эти критики видели стилистические элементы и эффекты «новой волны» как препятствия ясной передаче сообщения клиента потребителю, и они отклонили эти эксперименты как проходящую причуду. Общее мнение консерваторов от дизайна формулировалось так: «Вряд ли графический дизайн может создать художественные формы. Он должен создать интерес у заказчика». Для критика Марка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Трейба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воздействие постмодернизма со страниц вспышками, разрезами, точками и геометрическими фигурами были первоначально приятными и волнующими по сравнению с обычным дизайном, но быстро превратились в утомительное занятие. «Это походит на прослушивание шести радиостанций, играющих сразу, каждая с различной передачей. Оно не заряжает сложностью; это — просто шум».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65FABB" wp14:editId="6D50A1F6">
            <wp:extent cx="2859405" cy="3856990"/>
            <wp:effectExtent l="0" t="0" r="0" b="0"/>
            <wp:docPr id="15" name="Рисунок 15" descr="https://awdee.ru/wp-content/uploads/2013/09/pan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wdee.ru/wp-content/uploads/2013/09/pank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Обложка журнала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Workspirit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», Швейцария, 1988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6245E4" wp14:editId="5A20087A">
            <wp:extent cx="4754880" cy="3208655"/>
            <wp:effectExtent l="0" t="0" r="7620" b="0"/>
            <wp:docPr id="14" name="Рисунок 14" descr="https://awdee.ru/wp-content/uploads/2013/09/pan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wdee.ru/wp-content/uploads/2013/09/pank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Разворот журнала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Workspirit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», Швейцария, 1988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же культурные идеи всплывают в работе Фридмана,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других, попавших в это течение. Как часто бывает с дизайном экспериментального характера, их клиенты были главным образом из секторов культуры и образования. Казалось, что имеется лишь небольшой шанс, что это будет </w:t>
      </w: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серьезно воспринято в корпоративной среде. Обложки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CalArts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Viewbook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для выпусков журнала «WET» в 1979 году иллюстрируют многие из характеристик «новой волны». Ее эклектичный визуальный язык идет от сюрреализма с одной стороны, и декоративности с другой.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2298F" wp14:editId="7A310260">
            <wp:extent cx="2859405" cy="3690620"/>
            <wp:effectExtent l="0" t="0" r="0" b="5080"/>
            <wp:docPr id="13" name="Рисунок 13" descr="https://awdee.ru/wp-content/uploads/2013/09/pan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wdee.ru/wp-content/uploads/2013/09/pank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Джейм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Одгерс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Обложка журнала «WET», США, 1979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51C41" wp14:editId="2189BB5D">
            <wp:extent cx="1630748" cy="2569433"/>
            <wp:effectExtent l="0" t="0" r="7620" b="2540"/>
            <wp:docPr id="12" name="Рисунок 12" descr="https://awdee.ru/wp-content/uploads/2013/09/pan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wdee.ru/wp-content/uploads/2013/09/pank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81" cy="257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Плакат для Южно-Калифорнийского института архитектуры, США, 1991</w:t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before="540" w:after="36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1980-е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1980-х годов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называли ни больше, ни меньше «королевой новой волны». Так графики-дизайнеры оценивали ее богатые, колоритные работы, выполненные в свободных, меняющихся формах и манере. «Гибридная образность» публикаций, афиш, рекламы и других средств массовой информации стала ее «коллажным» подходом.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комбинирует образы, используя видеозаписи, компьютерные данные, фотографии и печать. В основе такого подхода, утверждает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лежит понимание того, что существуют различные слои информации. «Поверхностный слой вы схватываете инстинктивно, это каким-то образом вызывает эмоциональную реакцию, но я люблю слои, которые увлекают вглубь и заставляют задумываться».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E598C8" wp14:editId="7222FAC2">
            <wp:extent cx="2859405" cy="4538980"/>
            <wp:effectExtent l="0" t="0" r="0" b="0"/>
            <wp:docPr id="11" name="Рисунок 11" descr="https://awdee.ru/wp-content/uploads/2013/09/pan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wdee.ru/wp-content/uploads/2013/09/pank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5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Плакат-приглашение сэра Джека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Зунца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США, 1990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план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субъективные мироощущения. «Я — чувствительный человек. Очевидно оптимальная ситуация должна иметь баланс между мнением и сердцем, между телом и духом. Я думаю, что </w:t>
      </w: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формы, выражаемые в „новой волне“, являются очень женскими».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противопоставляет тайну, нелогичность и необъяснимый аспект ее работы мужской линейности швейцарского дизайна.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AD6F8" wp14:editId="2C15B08D">
            <wp:extent cx="2859405" cy="4338955"/>
            <wp:effectExtent l="0" t="0" r="0" b="4445"/>
            <wp:docPr id="10" name="Рисунок 10" descr="https://awdee.ru/wp-content/uploads/2013/09/pan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wdee.ru/wp-content/uploads/2013/09/pank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Эприл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Грайман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Обложка брошюры для Калифорнийского</w:t>
      </w: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Института Искусств, США, 1979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Вольфганга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Вайнгарта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швейцарец сыграл большую роль в становлении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«новой волны»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базельской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Соединенных Штатах. Вилли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Швейцарии, и он также учился в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Kunstgewerbeschule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Базеле перед переездом в Америку в 1970-м. Его разработка логотипа для бензоколонок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Merit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1971 стала хрестоматийным примером минимализма в графике. Резко выделяемые в американской коммерческой окружающей среде, знаки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Merit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незабываемы в своей необычной обрезанной форме начальной буквы логотипа и полной асимметрии.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22DD80" wp14:editId="6F984DE4">
            <wp:extent cx="2859405" cy="4787900"/>
            <wp:effectExtent l="0" t="0" r="0" b="0"/>
            <wp:docPr id="9" name="Рисунок 9" descr="https://awdee.ru/wp-content/uploads/2013/09/pan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wdee.ru/wp-content/uploads/2013/09/pank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Вилли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Кунц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Лого и оформление заправочных</w:t>
      </w: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станций компании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Merit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США, 1971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10E3A" wp14:editId="7ABB9E35">
            <wp:extent cx="2448217" cy="2448217"/>
            <wp:effectExtent l="0" t="0" r="9525" b="9525"/>
            <wp:docPr id="8" name="Рисунок 8" descr="https://awdee.ru/wp-content/uploads/2013/09/pan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wdee.ru/wp-content/uploads/2013/09/pank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63" cy="24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Вилли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Кунц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Плакаты для лекций и выставок в Колумбийском университете, США, 1984-2001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B160FA" wp14:editId="51E204E7">
            <wp:extent cx="3807460" cy="3807460"/>
            <wp:effectExtent l="0" t="0" r="2540" b="2540"/>
            <wp:docPr id="7" name="Рисунок 7" descr="https://awdee.ru/wp-content/uploads/2013/09/pank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wdee.ru/wp-content/uploads/2013/09/pank15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Вилли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Кунц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Плакаты для лекций и выставок в Колумбийском университете, США, 1984-2001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2E097" wp14:editId="28CEF66B">
            <wp:extent cx="3807460" cy="3790315"/>
            <wp:effectExtent l="0" t="0" r="2540" b="635"/>
            <wp:docPr id="6" name="Рисунок 6" descr="https://awdee.ru/wp-content/uploads/2013/09/pan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wdee.ru/wp-content/uploads/2013/09/pank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«8vo» (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Саймон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Джонстон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Марк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Холт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Майкл Бурке,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Хамиш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Обложка пластинки, Великобритания, 1986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«Наша работа имеет дело исключительно с формальными отношениями между визуальными компонентами вместо того, чтобы быть просто механизмом для „умных идей“. Дизайн на основе идеи переводит визуальные/эстетические соображения на вторые роли», — так комментировал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Джонстон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номера журнала. 8 Требовательную точность, красоту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типографики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всего макета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Октаво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немедленно связали со швейцарским международным стилем 1950-х. Однако, «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Октаво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возникли из ниоткуда, его качество и смысл цели издания дали ему непосредственные полномочия представлять в туманном Альбионе новую </w:t>
      </w:r>
      <w:proofErr w:type="spellStart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типографику</w:t>
      </w:r>
      <w:proofErr w:type="spellEnd"/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0407D" wp14:editId="1E46B82E">
            <wp:extent cx="2859405" cy="4090035"/>
            <wp:effectExtent l="0" t="0" r="0" b="5715"/>
            <wp:docPr id="5" name="Рисунок 5" descr="https://awdee.ru/wp-content/uploads/2013/09/pank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wdee.ru/wp-content/uploads/2013/09/pank1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«8vo» (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Саймон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Джонстон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Марк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Холт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Майкл Бурке,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Хамиш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Обложка журнала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Октаво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 (#2), Великобритания, 1986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147C1A" wp14:editId="1EE9BE8D">
            <wp:extent cx="4754880" cy="3375025"/>
            <wp:effectExtent l="0" t="0" r="7620" b="0"/>
            <wp:docPr id="4" name="Рисунок 4" descr="https://awdee.ru/wp-content/uploads/2013/09/pank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wdee.ru/wp-content/uploads/2013/09/pank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«8vo» (Марк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Холт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Майкл Бурке,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Хамиш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Разворот журнала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Октаво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 (#7), Великобритания, 1990</w:t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0686" w:rsidRPr="008E0686" w:rsidRDefault="008E0686" w:rsidP="008E0686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FD72E" wp14:editId="142EBCC8">
            <wp:extent cx="4754880" cy="3507740"/>
            <wp:effectExtent l="0" t="0" r="7620" b="0"/>
            <wp:docPr id="3" name="Рисунок 3" descr="https://awdee.ru/wp-content/uploads/2013/09/pank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wdee.ru/wp-content/uploads/2013/09/pank16-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6" w:rsidRPr="008E0686" w:rsidRDefault="008E0686" w:rsidP="008E0686">
      <w:pPr>
        <w:spacing w:after="3" w:line="40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Вильям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Лонгхаузер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Плакат архитектурной выставки «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The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Language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Michael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Graves</w:t>
      </w:r>
      <w:proofErr w:type="spellEnd"/>
      <w:r w:rsidRPr="008E0686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США, 1983</w:t>
      </w:r>
    </w:p>
    <w:p w:rsidR="00813679" w:rsidRDefault="00813679" w:rsidP="008E0686">
      <w:pPr>
        <w:rPr>
          <w:rFonts w:ascii="Times New Roman" w:hAnsi="Times New Roman" w:cs="Times New Roman"/>
          <w:sz w:val="28"/>
          <w:szCs w:val="28"/>
        </w:rPr>
      </w:pPr>
    </w:p>
    <w:p w:rsidR="008E0686" w:rsidRPr="008E0686" w:rsidRDefault="008E0686" w:rsidP="008E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ПЗ: </w:t>
      </w:r>
      <w:r w:rsidR="00473B2F">
        <w:rPr>
          <w:rFonts w:ascii="Times New Roman" w:hAnsi="Times New Roman" w:cs="Times New Roman"/>
          <w:sz w:val="28"/>
          <w:szCs w:val="28"/>
        </w:rPr>
        <w:t>Разработка плаката в формате 90х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60</w:t>
      </w:r>
    </w:p>
    <w:p w:rsidR="00813679" w:rsidRPr="008E0686" w:rsidRDefault="00813679" w:rsidP="00813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79" w:rsidRPr="008E0686" w:rsidRDefault="00813679" w:rsidP="00813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79" w:rsidRPr="008E0686" w:rsidRDefault="00813679" w:rsidP="00813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679" w:rsidRPr="008E0686" w:rsidRDefault="00813679" w:rsidP="008136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3679" w:rsidRPr="008E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C8"/>
    <w:rsid w:val="00473B2F"/>
    <w:rsid w:val="007455C8"/>
    <w:rsid w:val="00813679"/>
    <w:rsid w:val="008E0686"/>
    <w:rsid w:val="00A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7912"/>
  <w15:chartTrackingRefBased/>
  <w15:docId w15:val="{4EBDD49A-9809-473C-B8F6-B9544CF4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06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0686"/>
    <w:rPr>
      <w:i/>
      <w:iCs/>
    </w:rPr>
  </w:style>
  <w:style w:type="paragraph" w:customStyle="1" w:styleId="wp-caption-text">
    <w:name w:val="wp-caption-text"/>
    <w:basedOn w:val="a"/>
    <w:rsid w:val="008E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702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442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598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97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347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270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081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452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432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971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935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93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95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39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628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669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950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146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782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tosha1</dc:creator>
  <cp:keywords/>
  <dc:description/>
  <cp:lastModifiedBy>tosha1</cp:lastModifiedBy>
  <cp:revision>2</cp:revision>
  <dcterms:created xsi:type="dcterms:W3CDTF">2020-03-24T12:09:00Z</dcterms:created>
  <dcterms:modified xsi:type="dcterms:W3CDTF">2020-03-24T12:44:00Z</dcterms:modified>
</cp:coreProperties>
</file>