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1F" w:rsidRDefault="00724D1F" w:rsidP="00724D1F"/>
    <w:p w:rsidR="00724D1F" w:rsidRDefault="00724D1F" w:rsidP="00724D1F"/>
    <w:p w:rsidR="00593367" w:rsidRDefault="00F666DA" w:rsidP="008B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приема на обучение по специальностям за счет бюджетных ассигнований бюджета Ставропольского края (бюджетные места) </w:t>
      </w:r>
      <w:bookmarkStart w:id="0" w:name="_GoBack"/>
      <w:r w:rsidRPr="008B1872">
        <w:rPr>
          <w:rFonts w:ascii="Times New Roman" w:hAnsi="Times New Roman" w:cs="Times New Roman"/>
          <w:b/>
          <w:sz w:val="28"/>
          <w:szCs w:val="28"/>
        </w:rPr>
        <w:t>на 2022/2023 год</w:t>
      </w:r>
      <w:bookmarkEnd w:id="0"/>
      <w:r w:rsidRPr="008B1872">
        <w:rPr>
          <w:rFonts w:ascii="Times New Roman" w:hAnsi="Times New Roman" w:cs="Times New Roman"/>
          <w:b/>
          <w:sz w:val="28"/>
          <w:szCs w:val="28"/>
        </w:rPr>
        <w:t>, установленные приказом министерства культуры Ставропольского края от</w:t>
      </w:r>
      <w:r w:rsidR="001529F9">
        <w:rPr>
          <w:rFonts w:ascii="Times New Roman" w:hAnsi="Times New Roman" w:cs="Times New Roman"/>
          <w:b/>
          <w:sz w:val="28"/>
          <w:szCs w:val="28"/>
        </w:rPr>
        <w:t xml:space="preserve"> 21.05.2021г. № 291</w:t>
      </w:r>
    </w:p>
    <w:p w:rsidR="008B1872" w:rsidRPr="008B1872" w:rsidRDefault="008B1872" w:rsidP="008B1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752"/>
        <w:gridCol w:w="2337"/>
      </w:tblGrid>
      <w:tr w:rsidR="008B1872" w:rsidRPr="008B1872" w:rsidTr="008B1872">
        <w:tc>
          <w:tcPr>
            <w:tcW w:w="846" w:type="dxa"/>
          </w:tcPr>
          <w:p w:rsidR="008B1872" w:rsidRPr="00081398" w:rsidRDefault="008B1872" w:rsidP="00081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B1872" w:rsidRPr="00081398" w:rsidRDefault="008B1872" w:rsidP="00081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98">
              <w:rPr>
                <w:rFonts w:ascii="Times New Roman" w:hAnsi="Times New Roman" w:cs="Times New Roman"/>
                <w:b/>
                <w:sz w:val="28"/>
                <w:szCs w:val="28"/>
              </w:rPr>
              <w:t>Код наименования специальности</w:t>
            </w:r>
          </w:p>
        </w:tc>
        <w:tc>
          <w:tcPr>
            <w:tcW w:w="3752" w:type="dxa"/>
          </w:tcPr>
          <w:p w:rsidR="008B1872" w:rsidRPr="00081398" w:rsidRDefault="008B1872" w:rsidP="00081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337" w:type="dxa"/>
          </w:tcPr>
          <w:p w:rsidR="008B1872" w:rsidRPr="00081398" w:rsidRDefault="008B1872" w:rsidP="00081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</w:tr>
      <w:tr w:rsidR="008B1872" w:rsidRPr="008B1872" w:rsidTr="008B1872">
        <w:tc>
          <w:tcPr>
            <w:tcW w:w="846" w:type="dxa"/>
          </w:tcPr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3752" w:type="dxa"/>
          </w:tcPr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Дизайн среды (Дизайн в архитектурно-пространственной среде);</w:t>
            </w: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Дизайн графики;</w:t>
            </w: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Дизайн костюма;</w:t>
            </w: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B1872" w:rsidRPr="008B1872" w:rsidTr="008B1872">
        <w:tc>
          <w:tcPr>
            <w:tcW w:w="846" w:type="dxa"/>
          </w:tcPr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8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54.02.02</w:t>
            </w:r>
          </w:p>
        </w:tc>
        <w:tc>
          <w:tcPr>
            <w:tcW w:w="3752" w:type="dxa"/>
          </w:tcPr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Дизайн ювелирных изделий;</w:t>
            </w: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Художественная роспись;</w:t>
            </w: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Художественная керамика;</w:t>
            </w:r>
          </w:p>
          <w:p w:rsidR="008B1872" w:rsidRPr="008B1872" w:rsidRDefault="008B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72" w:rsidRPr="008B1872" w:rsidRDefault="008B1872" w:rsidP="0008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1872" w:rsidRDefault="008B1872"/>
    <w:sectPr w:rsidR="008B1872" w:rsidSect="00F6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1F"/>
    <w:rsid w:val="00081398"/>
    <w:rsid w:val="001529F9"/>
    <w:rsid w:val="00593367"/>
    <w:rsid w:val="00724D1F"/>
    <w:rsid w:val="008B1872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3C5F-7AF5-489F-9390-77EBCC3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2022-05-31T06:22:00Z</dcterms:created>
  <dcterms:modified xsi:type="dcterms:W3CDTF">2022-06-01T05:13:00Z</dcterms:modified>
</cp:coreProperties>
</file>